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b w:val="1"/>
          <w:sz w:val="32"/>
          <w:szCs w:val="32"/>
          <w:rtl w:val="0"/>
        </w:rPr>
        <w:t xml:space="preserve">Request for Proposals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AIDS Service Foundation of Greater Kansas City Community Grants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I. AIDS Service Foundation Mission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mission of the AIDS Service Foundation of Greater Kansas City (ASF) is to raise money to support the Kansas City metropolitan HIV/AIDS community while raising awareness about HIV. We accomplish our mission by: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Assisting equally three Kansas City area organizations that provide HIV services: Hope Care Center, KC Care Health Center, and SAVE, Inc.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Awarding grants to not-for-profit organizations that support the specialized needs of the diverse communities impacted by HIV/AIDS by promoting awareness, education, and prevention.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II. AIDS Service Foundation Community Grants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Funding Priorities: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award grants to not-for-profit organizations which serve specialized needs of the community in support of our mission. We seek proposals from organizations who provide innovative, direct-service projects with a focus on HIV/AIDS awareness, education, and prevention, as well as whole person wellness support.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the ASF Education and Outreach Committee seeks projects focused on inclusive health, health equity, and underserved populations (for example: youth, LGBTQIA+, transgender, unhoused, Black, or Hispanic persons).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Eligibility: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interested not-for-profit organization with a 501(c) (3) IRS status is eligible to apply </w:t>
      </w:r>
      <w:r w:rsidDel="00000000" w:rsidR="00000000" w:rsidRPr="00000000">
        <w:rPr>
          <w:rtl w:val="0"/>
        </w:rPr>
        <w:t xml:space="preserve">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Community Grant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Funding for this period is limited to qualified organizations in the five (5) county Kansas City metropolitan area including Jackson, Clay, and Platte Counties in Missouri, and Johnson and Wyandotte Counties in Kansas.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mission and project plans of the applicant organization should complement the mission of the AIDS Service Foundation.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Application Process: </w:t>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One (1) copy of the Grant Application, with attachments,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must be received by 5:00 pm CT Friday, October 25, 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Email the completed application and attachments to Wanda </w:t>
      </w:r>
      <w:r w:rsidDel="00000000" w:rsidR="00000000" w:rsidRPr="00000000">
        <w:rPr>
          <w:rtl w:val="0"/>
        </w:rPr>
        <w:t xml:space="preserve">Shafer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ASF Vice President of Education and Outreach, at educationoutreach@asfkc.org</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Notice of receipt of the proposal will be sent to the contact email address on the application.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The Community Grants Committee will review each eligible proposal and make final award decisions.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Announcement of grant awards is expected to be made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November 2024 with funds expected to be distributed at the ASF World AIDS Day reception on December 4, 2024.</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Criteria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grant applications will be scored on the following criteria (1</w:t>
      </w:r>
      <w:r w:rsidDel="00000000" w:rsidR="00000000" w:rsidRPr="00000000">
        <w:rPr>
          <w:rtl w:val="0"/>
        </w:rPr>
        <w:t xml:space="preserve">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possible points):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5"/>
        <w:gridCol w:w="3690"/>
        <w:gridCol w:w="3690"/>
        <w:tblGridChange w:id="0">
          <w:tblGrid>
            <w:gridCol w:w="3055"/>
            <w:gridCol w:w="3690"/>
            <w:gridCol w:w="3690"/>
          </w:tblGrid>
        </w:tblGridChange>
      </w:tblGrid>
      <w:tr>
        <w:trPr>
          <w:cantSplit w:val="0"/>
          <w:tblHeader w:val="0"/>
        </w:trPr>
        <w:tc>
          <w:tcPr>
            <w:shd w:fill="d9d9d9"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Criteria</w:t>
            </w:r>
          </w:p>
        </w:tc>
        <w:tc>
          <w:tcPr>
            <w:shd w:fill="d9d9d9"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Criteria description</w:t>
            </w:r>
          </w:p>
        </w:tc>
        <w:tc>
          <w:tcPr>
            <w:shd w:fill="d9d9d9"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Maximum points</w:t>
            </w:r>
          </w:p>
        </w:tc>
      </w:tr>
      <w:tr>
        <w:trPr>
          <w:cantSplit w:val="0"/>
          <w:tblHeader w:val="0"/>
        </w:trP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Alignment with ASF mission</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your organization align with ASF’s mission?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 description of your organization as well.  </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points</w:t>
            </w:r>
          </w:p>
        </w:tc>
      </w:tr>
      <w:tr>
        <w:trPr>
          <w:cantSplit w:val="0"/>
          <w:tblHeader w:val="0"/>
        </w:trPr>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Executive summary</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brief paragraph summarizing your proposed project.  </w:t>
            </w:r>
          </w:p>
        </w:tc>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points</w:t>
            </w:r>
          </w:p>
        </w:tc>
      </w:tr>
      <w:tr>
        <w:trPr>
          <w:cantSplit w:val="0"/>
          <w:tblHeader w:val="0"/>
        </w:trPr>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goals and objectives</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will you do?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SMART goals/objectives.</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points</w:t>
            </w:r>
          </w:p>
        </w:tc>
      </w:tr>
      <w:tr>
        <w:trPr>
          <w:cantSplit w:val="0"/>
          <w:tblHeader w:val="0"/>
        </w:trPr>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of population served by ASF grant</w:t>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and how many will be served by the funds?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which local counties &amp;/or zip codes will these funds be used?  </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points</w:t>
            </w:r>
          </w:p>
        </w:tc>
      </w:tr>
      <w:tr>
        <w:trPr>
          <w:cantSplit w:val="0"/>
          <w:tblHeader w:val="0"/>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Demonstration of need</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problem will this project address?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is your project important to fund?</w:t>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points</w:t>
            </w:r>
          </w:p>
        </w:tc>
      </w:tr>
      <w:tr>
        <w:trPr>
          <w:cantSplit w:val="0"/>
          <w:tblHeader w:val="0"/>
        </w:trP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Health equity</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Health Equity Rubric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Appendix 1, below)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detailed metrics to be evaluated. Integrate the information into your submission.</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points</w:t>
            </w:r>
          </w:p>
        </w:tc>
      </w:tr>
      <w:tr>
        <w:trPr>
          <w:cantSplit w:val="0"/>
          <w:tblHeader w:val="0"/>
        </w:trP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Detailed budget</w:t>
              <w:tab/>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detailed use of funds in numbers. (See </w:t>
            </w:r>
            <w:r w:rsidDel="00000000" w:rsidR="00000000" w:rsidRPr="00000000">
              <w:rPr>
                <w:rtl w:val="0"/>
              </w:rPr>
              <w:t xml:space="preserve">Appendix 2: Budget Template, below)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points</w:t>
            </w:r>
          </w:p>
        </w:tc>
      </w:tr>
      <w:tr>
        <w:trPr>
          <w:cantSplit w:val="0"/>
          <w:trHeight w:val="417" w:hRule="atLeast"/>
          <w:tblHeader w:val="0"/>
        </w:trPr>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Budget narrative</w:t>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Explanation of your budget</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points</w:t>
            </w:r>
          </w:p>
        </w:tc>
      </w:tr>
      <w:tr>
        <w:trPr>
          <w:cantSplit w:val="0"/>
          <w:tblHeader w:val="0"/>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Past grant performance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applicable)</w:t>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Points </w:t>
            </w:r>
            <w:r w:rsidDel="00000000" w:rsidR="00000000" w:rsidRPr="00000000">
              <w:rPr>
                <w:rtl w:val="0"/>
              </w:rPr>
              <w:t xml:space="preserve">may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subtracted based on the following criteria listed in the Maximum points column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202124"/>
                    <w:sz w:val="30"/>
                    <w:szCs w:val="30"/>
                    <w:highlight w:val="white"/>
                    <w:u w:val="none"/>
                    <w:vertAlign w:val="baseline"/>
                    <w:rtl w:val="0"/>
                  </w:rPr>
                  <w:t xml:space="preserve">☐ </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end of year report turned in on time: up to minus 10 points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202124"/>
                    <w:sz w:val="30"/>
                    <w:szCs w:val="30"/>
                    <w:highlight w:val="white"/>
                    <w:u w:val="none"/>
                    <w:vertAlign w:val="baseline"/>
                    <w:rtl w:val="0"/>
                  </w:rPr>
                  <w:t xml:space="preserve">☐ </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Goals unmet: </w:t>
            </w:r>
            <w:r w:rsidDel="00000000" w:rsidR="00000000" w:rsidRPr="00000000">
              <w:rPr>
                <w:rtl w:val="0"/>
              </w:rPr>
              <w:t xml:space="preserve">up to minus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points</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Grant Amounts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AIDS Service Foundation has previously awarded Community Grants up to ~$10,000.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 Application Format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responses must be submitted in the format requested in this document and in the Grant Application. </w:t>
      </w:r>
      <w:r w:rsidDel="00000000" w:rsidR="00000000" w:rsidRPr="00000000">
        <w:rPr>
          <w:b w:val="1"/>
          <w:i w:val="0"/>
          <w:smallCaps w:val="0"/>
          <w:strike w:val="0"/>
          <w:color w:val="000000"/>
          <w:sz w:val="22"/>
          <w:szCs w:val="22"/>
          <w:u w:val="none"/>
          <w:shd w:fill="auto" w:val="clear"/>
          <w:vertAlign w:val="baseline"/>
          <w:rtl w:val="0"/>
        </w:rPr>
        <w:t xml:space="preserve">Limit submissions to text 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ASF Community Grants Program Application 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completed and signed. The application should be submitted with the organization’s IRS tax-exempt ruling letter and additional attachments as detailed on the Grant Application Form.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Incomplete applications will not be considered.</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 Evaluation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Grant award recipients are expected to submit a written report to 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describing their use of the awarded grant funds at the completion of the project or by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November 30,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whichever date is earlier. The Vice President of Education and Outreach will provide the form to be used which will focus on measurable outcomes and metrics.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 Contact / Questions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questions about this Request for Proposal or if there is a need for additional information please contact Wanda </w:t>
      </w:r>
      <w:r w:rsidDel="00000000" w:rsidR="00000000" w:rsidRPr="00000000">
        <w:rPr>
          <w:rtl w:val="0"/>
        </w:rPr>
        <w:t xml:space="preserve">Shafer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Vice President of Education and Outreach, at educationoutreach@asfkc.org.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III. Terms and Conditions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Confidentiality and Ownership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responses must be submitted in the format requested in this document and in the Application Form. All responses submitted become the property of 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require additional information if clarification is needed. Applicants will not publicly announce or disclose participation in this application process or advertise or release any publicity regarding this application or the fact that the aforesaid discussions are taking place or the nature of such discussions.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No Agreement </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Request for Proposal is not an agreement or a guarantee. Applicants receive no rights whatsoever because of their response. 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accept other responses, accept or reject any response, in whole or in part, or reject all responses, with or without notice or reasons. If no response is accepted, 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abandon the grant process. In addition, 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add Applicants at any time. Applicant’s response to this application does not grant Applicant any rights of ownership, licenses, or any other intellectual property rights in any materials provided to Applicant by the </w:t>
      </w:r>
      <w:r w:rsidDel="00000000" w:rsidR="00000000" w:rsidRPr="00000000">
        <w:rPr>
          <w:rtl w:val="0"/>
        </w:rPr>
        <w:t xml:space="preserve">ASF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part of this application. 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reserves the right to pursue a grant on a local or regional basis. 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also reserves the right to award no grant during the process.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Cost and Expenses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expenses incurred by 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by the Applicant, because of this application, will be paid by the party incurring the expense. 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not reimburse any of the Applicant’s costs.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Amendments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make changes to this application or timeline or request additional information on the Applicant’s response if clarification is needed.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Compliance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Acceptance of the provisions contained throughout this application is a necessary condition to applying. If the Applicant disagrees with these conditions, it should indicate its non-compliance in written form at submittal. A non-compliant applicant may be rejected unless the reason for non-compliance is explicitly and subsequently accepted by the </w:t>
      </w:r>
      <w:r w:rsidDel="00000000" w:rsidR="00000000" w:rsidRPr="00000000">
        <w:rPr>
          <w:rtl w:val="0"/>
        </w:rPr>
        <w:t xml:space="preserve">ASF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 no obligation or discretion.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1f497d"/>
          <w:rtl w:val="0"/>
        </w:rPr>
        <w:t xml:space="preserve">Appendix 1. Health Equity Rubric </w:t>
      </w:r>
      <w:r w:rsidDel="00000000" w:rsidR="00000000" w:rsidRPr="00000000">
        <w:rPr>
          <w:rtl w:val="0"/>
        </w:rPr>
      </w:r>
    </w:p>
    <w:p w:rsidR="00000000" w:rsidDel="00000000" w:rsidP="00000000" w:rsidRDefault="00000000" w:rsidRPr="00000000" w14:paraId="00000067">
      <w:pPr>
        <w:spacing w:after="0" w:line="240" w:lineRule="auto"/>
        <w:jc w:val="center"/>
        <w:rPr/>
      </w:pPr>
      <w:r w:rsidDel="00000000" w:rsidR="00000000" w:rsidRPr="00000000">
        <w:rPr>
          <w:rtl w:val="0"/>
        </w:rPr>
      </w:r>
    </w:p>
    <w:p w:rsidR="00000000" w:rsidDel="00000000" w:rsidP="00000000" w:rsidRDefault="00000000" w:rsidRPr="00000000" w14:paraId="00000068">
      <w:pPr>
        <w:spacing w:after="0" w:line="240" w:lineRule="auto"/>
        <w:rPr>
          <w:b w:val="1"/>
        </w:rPr>
      </w:pPr>
      <w:r w:rsidDel="00000000" w:rsidR="00000000" w:rsidRPr="00000000">
        <w:rPr>
          <w:b w:val="1"/>
          <w:rtl w:val="0"/>
        </w:rPr>
        <w:t xml:space="preserve">1. The project is focused on Men who have Sex with Men (MSM) (5 points)</w:t>
      </w:r>
    </w:p>
    <w:p w:rsidR="00000000" w:rsidDel="00000000" w:rsidP="00000000" w:rsidRDefault="00000000" w:rsidRPr="00000000" w14:paraId="00000069">
      <w:pPr>
        <w:numPr>
          <w:ilvl w:val="0"/>
          <w:numId w:val="2"/>
        </w:numPr>
        <w:spacing w:after="0" w:line="240" w:lineRule="auto"/>
        <w:ind w:left="720" w:hanging="360"/>
        <w:rPr>
          <w:b w:val="1"/>
        </w:rPr>
      </w:pPr>
      <w:r w:rsidDel="00000000" w:rsidR="00000000" w:rsidRPr="00000000">
        <w:rPr>
          <w:rtl w:val="0"/>
        </w:rPr>
        <w:t xml:space="preserve">0 points – no focus on MSM</w:t>
      </w:r>
      <w:r w:rsidDel="00000000" w:rsidR="00000000" w:rsidRPr="00000000">
        <w:rPr>
          <w:rtl w:val="0"/>
        </w:rPr>
      </w:r>
    </w:p>
    <w:p w:rsidR="00000000" w:rsidDel="00000000" w:rsidP="00000000" w:rsidRDefault="00000000" w:rsidRPr="00000000" w14:paraId="0000006A">
      <w:pPr>
        <w:numPr>
          <w:ilvl w:val="0"/>
          <w:numId w:val="2"/>
        </w:numPr>
        <w:spacing w:after="0" w:line="240" w:lineRule="auto"/>
        <w:ind w:left="720" w:hanging="360"/>
        <w:rPr>
          <w:b w:val="1"/>
        </w:rPr>
      </w:pPr>
      <w:r w:rsidDel="00000000" w:rsidR="00000000" w:rsidRPr="00000000">
        <w:rPr>
          <w:rtl w:val="0"/>
        </w:rPr>
        <w:t xml:space="preserve">1 point – some focus on MSM</w:t>
      </w:r>
      <w:r w:rsidDel="00000000" w:rsidR="00000000" w:rsidRPr="00000000">
        <w:rPr>
          <w:rtl w:val="0"/>
        </w:rPr>
      </w:r>
    </w:p>
    <w:p w:rsidR="00000000" w:rsidDel="00000000" w:rsidP="00000000" w:rsidRDefault="00000000" w:rsidRPr="00000000" w14:paraId="0000006B">
      <w:pPr>
        <w:numPr>
          <w:ilvl w:val="0"/>
          <w:numId w:val="2"/>
        </w:numPr>
        <w:spacing w:after="0" w:line="240" w:lineRule="auto"/>
        <w:ind w:left="720" w:hanging="360"/>
        <w:rPr>
          <w:b w:val="1"/>
        </w:rPr>
      </w:pPr>
      <w:r w:rsidDel="00000000" w:rsidR="00000000" w:rsidRPr="00000000">
        <w:rPr>
          <w:rtl w:val="0"/>
        </w:rPr>
        <w:t xml:space="preserve">2 points – moderate focus on MSM</w:t>
      </w:r>
      <w:r w:rsidDel="00000000" w:rsidR="00000000" w:rsidRPr="00000000">
        <w:rPr>
          <w:rtl w:val="0"/>
        </w:rPr>
      </w:r>
    </w:p>
    <w:p w:rsidR="00000000" w:rsidDel="00000000" w:rsidP="00000000" w:rsidRDefault="00000000" w:rsidRPr="00000000" w14:paraId="0000006C">
      <w:pPr>
        <w:numPr>
          <w:ilvl w:val="0"/>
          <w:numId w:val="2"/>
        </w:numPr>
        <w:spacing w:after="0" w:line="240" w:lineRule="auto"/>
        <w:ind w:left="720" w:hanging="360"/>
        <w:rPr>
          <w:b w:val="1"/>
        </w:rPr>
      </w:pPr>
      <w:r w:rsidDel="00000000" w:rsidR="00000000" w:rsidRPr="00000000">
        <w:rPr>
          <w:rtl w:val="0"/>
        </w:rPr>
        <w:t xml:space="preserve">3 points – strong focus on White MSM</w:t>
      </w:r>
      <w:r w:rsidDel="00000000" w:rsidR="00000000" w:rsidRPr="00000000">
        <w:rPr>
          <w:rtl w:val="0"/>
        </w:rPr>
      </w:r>
    </w:p>
    <w:p w:rsidR="00000000" w:rsidDel="00000000" w:rsidP="00000000" w:rsidRDefault="00000000" w:rsidRPr="00000000" w14:paraId="0000006D">
      <w:pPr>
        <w:numPr>
          <w:ilvl w:val="0"/>
          <w:numId w:val="2"/>
        </w:numPr>
        <w:spacing w:after="0" w:line="240" w:lineRule="auto"/>
        <w:ind w:left="720" w:hanging="360"/>
        <w:rPr>
          <w:b w:val="1"/>
        </w:rPr>
      </w:pPr>
      <w:r w:rsidDel="00000000" w:rsidR="00000000" w:rsidRPr="00000000">
        <w:rPr>
          <w:rtl w:val="0"/>
        </w:rPr>
        <w:t xml:space="preserve">4 points – strong focus on Latino MSM</w:t>
      </w:r>
      <w:r w:rsidDel="00000000" w:rsidR="00000000" w:rsidRPr="00000000">
        <w:rPr>
          <w:rtl w:val="0"/>
        </w:rPr>
      </w:r>
    </w:p>
    <w:p w:rsidR="00000000" w:rsidDel="00000000" w:rsidP="00000000" w:rsidRDefault="00000000" w:rsidRPr="00000000" w14:paraId="0000006E">
      <w:pPr>
        <w:numPr>
          <w:ilvl w:val="0"/>
          <w:numId w:val="2"/>
        </w:numPr>
        <w:spacing w:after="0" w:line="240" w:lineRule="auto"/>
        <w:ind w:left="720" w:hanging="360"/>
        <w:rPr>
          <w:b w:val="1"/>
        </w:rPr>
      </w:pPr>
      <w:r w:rsidDel="00000000" w:rsidR="00000000" w:rsidRPr="00000000">
        <w:rPr>
          <w:rtl w:val="0"/>
        </w:rPr>
        <w:t xml:space="preserve">5 points – strong focus on Black MSM</w:t>
      </w:r>
      <w:r w:rsidDel="00000000" w:rsidR="00000000" w:rsidRPr="00000000">
        <w:rPr>
          <w:rtl w:val="0"/>
        </w:rPr>
      </w:r>
    </w:p>
    <w:p w:rsidR="00000000" w:rsidDel="00000000" w:rsidP="00000000" w:rsidRDefault="00000000" w:rsidRPr="00000000" w14:paraId="0000006F">
      <w:pPr>
        <w:spacing w:after="0" w:line="240" w:lineRule="auto"/>
        <w:rPr>
          <w:b w:val="1"/>
        </w:rPr>
      </w:pPr>
      <w:r w:rsidDel="00000000" w:rsidR="00000000" w:rsidRPr="00000000">
        <w:rPr>
          <w:rtl w:val="0"/>
        </w:rPr>
      </w:r>
    </w:p>
    <w:p w:rsidR="00000000" w:rsidDel="00000000" w:rsidP="00000000" w:rsidRDefault="00000000" w:rsidRPr="00000000" w14:paraId="00000070">
      <w:pPr>
        <w:spacing w:after="0" w:line="240" w:lineRule="auto"/>
        <w:rPr>
          <w:b w:val="1"/>
        </w:rPr>
      </w:pPr>
      <w:r w:rsidDel="00000000" w:rsidR="00000000" w:rsidRPr="00000000">
        <w:rPr>
          <w:b w:val="1"/>
          <w:rtl w:val="0"/>
        </w:rPr>
        <w:t xml:space="preserve">2. The project is focused on Women of Color (WOC) and/or Transgender WOC (TWOC) (5 points)</w:t>
      </w:r>
    </w:p>
    <w:p w:rsidR="00000000" w:rsidDel="00000000" w:rsidP="00000000" w:rsidRDefault="00000000" w:rsidRPr="00000000" w14:paraId="00000071">
      <w:pPr>
        <w:numPr>
          <w:ilvl w:val="0"/>
          <w:numId w:val="2"/>
        </w:numPr>
        <w:spacing w:after="0" w:line="240" w:lineRule="auto"/>
        <w:ind w:left="720" w:hanging="360"/>
        <w:rPr>
          <w:b w:val="1"/>
        </w:rPr>
      </w:pPr>
      <w:r w:rsidDel="00000000" w:rsidR="00000000" w:rsidRPr="00000000">
        <w:rPr>
          <w:rtl w:val="0"/>
        </w:rPr>
        <w:t xml:space="preserve">0 points – no focus on WOC/TWOC</w:t>
      </w:r>
      <w:r w:rsidDel="00000000" w:rsidR="00000000" w:rsidRPr="00000000">
        <w:rPr>
          <w:rtl w:val="0"/>
        </w:rPr>
      </w:r>
    </w:p>
    <w:p w:rsidR="00000000" w:rsidDel="00000000" w:rsidP="00000000" w:rsidRDefault="00000000" w:rsidRPr="00000000" w14:paraId="00000072">
      <w:pPr>
        <w:numPr>
          <w:ilvl w:val="0"/>
          <w:numId w:val="2"/>
        </w:numPr>
        <w:spacing w:after="0" w:line="240" w:lineRule="auto"/>
        <w:ind w:left="720" w:hanging="360"/>
        <w:rPr>
          <w:b w:val="1"/>
        </w:rPr>
      </w:pPr>
      <w:r w:rsidDel="00000000" w:rsidR="00000000" w:rsidRPr="00000000">
        <w:rPr>
          <w:rtl w:val="0"/>
        </w:rPr>
        <w:t xml:space="preserve">1 point – marginal focus on WOC/TWOC</w:t>
      </w:r>
      <w:r w:rsidDel="00000000" w:rsidR="00000000" w:rsidRPr="00000000">
        <w:rPr>
          <w:rtl w:val="0"/>
        </w:rPr>
      </w:r>
    </w:p>
    <w:p w:rsidR="00000000" w:rsidDel="00000000" w:rsidP="00000000" w:rsidRDefault="00000000" w:rsidRPr="00000000" w14:paraId="00000073">
      <w:pPr>
        <w:numPr>
          <w:ilvl w:val="0"/>
          <w:numId w:val="2"/>
        </w:numPr>
        <w:spacing w:after="0" w:line="240" w:lineRule="auto"/>
        <w:ind w:left="720" w:hanging="360"/>
        <w:rPr>
          <w:b w:val="1"/>
        </w:rPr>
      </w:pPr>
      <w:r w:rsidDel="00000000" w:rsidR="00000000" w:rsidRPr="00000000">
        <w:rPr>
          <w:rtl w:val="0"/>
        </w:rPr>
        <w:t xml:space="preserve">2 points – some focus on WOC/TWOC</w:t>
      </w:r>
      <w:r w:rsidDel="00000000" w:rsidR="00000000" w:rsidRPr="00000000">
        <w:rPr>
          <w:rtl w:val="0"/>
        </w:rPr>
      </w:r>
    </w:p>
    <w:p w:rsidR="00000000" w:rsidDel="00000000" w:rsidP="00000000" w:rsidRDefault="00000000" w:rsidRPr="00000000" w14:paraId="00000074">
      <w:pPr>
        <w:numPr>
          <w:ilvl w:val="0"/>
          <w:numId w:val="2"/>
        </w:numPr>
        <w:spacing w:after="0" w:line="240" w:lineRule="auto"/>
        <w:ind w:left="720" w:hanging="360"/>
        <w:rPr>
          <w:b w:val="1"/>
        </w:rPr>
      </w:pPr>
      <w:r w:rsidDel="00000000" w:rsidR="00000000" w:rsidRPr="00000000">
        <w:rPr>
          <w:rtl w:val="0"/>
        </w:rPr>
        <w:t xml:space="preserve">3 points – moderate focus on WOC/TWOC</w:t>
      </w:r>
      <w:r w:rsidDel="00000000" w:rsidR="00000000" w:rsidRPr="00000000">
        <w:rPr>
          <w:rtl w:val="0"/>
        </w:rPr>
      </w:r>
    </w:p>
    <w:p w:rsidR="00000000" w:rsidDel="00000000" w:rsidP="00000000" w:rsidRDefault="00000000" w:rsidRPr="00000000" w14:paraId="00000075">
      <w:pPr>
        <w:numPr>
          <w:ilvl w:val="0"/>
          <w:numId w:val="2"/>
        </w:numPr>
        <w:spacing w:after="0" w:line="240" w:lineRule="auto"/>
        <w:ind w:left="720" w:hanging="360"/>
        <w:rPr>
          <w:b w:val="1"/>
        </w:rPr>
      </w:pPr>
      <w:r w:rsidDel="00000000" w:rsidR="00000000" w:rsidRPr="00000000">
        <w:rPr>
          <w:rtl w:val="0"/>
        </w:rPr>
        <w:t xml:space="preserve">4 points – mostly focused on WOC/TWOC</w:t>
      </w:r>
      <w:r w:rsidDel="00000000" w:rsidR="00000000" w:rsidRPr="00000000">
        <w:rPr>
          <w:rtl w:val="0"/>
        </w:rPr>
      </w:r>
    </w:p>
    <w:p w:rsidR="00000000" w:rsidDel="00000000" w:rsidP="00000000" w:rsidRDefault="00000000" w:rsidRPr="00000000" w14:paraId="00000076">
      <w:pPr>
        <w:numPr>
          <w:ilvl w:val="0"/>
          <w:numId w:val="2"/>
        </w:numPr>
        <w:spacing w:after="0" w:line="240" w:lineRule="auto"/>
        <w:ind w:left="720" w:hanging="360"/>
        <w:rPr>
          <w:b w:val="1"/>
        </w:rPr>
      </w:pPr>
      <w:r w:rsidDel="00000000" w:rsidR="00000000" w:rsidRPr="00000000">
        <w:rPr>
          <w:rtl w:val="0"/>
        </w:rPr>
        <w:t xml:space="preserve">5 points – strong focus on WOC/TWOC</w:t>
      </w:r>
      <w:r w:rsidDel="00000000" w:rsidR="00000000" w:rsidRPr="00000000">
        <w:rPr>
          <w:rtl w:val="0"/>
        </w:rPr>
      </w:r>
    </w:p>
    <w:p w:rsidR="00000000" w:rsidDel="00000000" w:rsidP="00000000" w:rsidRDefault="00000000" w:rsidRPr="00000000" w14:paraId="00000077">
      <w:pPr>
        <w:spacing w:after="0" w:line="240" w:lineRule="auto"/>
        <w:rPr>
          <w:b w:val="1"/>
        </w:rPr>
      </w:pPr>
      <w:r w:rsidDel="00000000" w:rsidR="00000000" w:rsidRPr="00000000">
        <w:rPr>
          <w:rtl w:val="0"/>
        </w:rPr>
      </w:r>
    </w:p>
    <w:p w:rsidR="00000000" w:rsidDel="00000000" w:rsidP="00000000" w:rsidRDefault="00000000" w:rsidRPr="00000000" w14:paraId="00000078">
      <w:pPr>
        <w:spacing w:after="0" w:line="240" w:lineRule="auto"/>
        <w:rPr>
          <w:b w:val="1"/>
        </w:rPr>
      </w:pPr>
      <w:r w:rsidDel="00000000" w:rsidR="00000000" w:rsidRPr="00000000">
        <w:rPr>
          <w:b w:val="1"/>
          <w:rtl w:val="0"/>
        </w:rPr>
        <w:t xml:space="preserve">3. The project is focused on People Who Inject Drugs (PWID) (5 points)</w:t>
      </w:r>
    </w:p>
    <w:p w:rsidR="00000000" w:rsidDel="00000000" w:rsidP="00000000" w:rsidRDefault="00000000" w:rsidRPr="00000000" w14:paraId="00000079">
      <w:pPr>
        <w:numPr>
          <w:ilvl w:val="0"/>
          <w:numId w:val="2"/>
        </w:numPr>
        <w:spacing w:after="0" w:line="240" w:lineRule="auto"/>
        <w:ind w:left="720" w:hanging="360"/>
        <w:rPr>
          <w:b w:val="1"/>
        </w:rPr>
      </w:pPr>
      <w:r w:rsidDel="00000000" w:rsidR="00000000" w:rsidRPr="00000000">
        <w:rPr>
          <w:rtl w:val="0"/>
        </w:rPr>
        <w:t xml:space="preserve">0 points – no focus on PWID</w:t>
      </w:r>
      <w:r w:rsidDel="00000000" w:rsidR="00000000" w:rsidRPr="00000000">
        <w:rPr>
          <w:rtl w:val="0"/>
        </w:rPr>
      </w:r>
    </w:p>
    <w:p w:rsidR="00000000" w:rsidDel="00000000" w:rsidP="00000000" w:rsidRDefault="00000000" w:rsidRPr="00000000" w14:paraId="0000007A">
      <w:pPr>
        <w:numPr>
          <w:ilvl w:val="0"/>
          <w:numId w:val="2"/>
        </w:numPr>
        <w:spacing w:after="0" w:line="240" w:lineRule="auto"/>
        <w:ind w:left="720" w:hanging="360"/>
        <w:rPr>
          <w:b w:val="1"/>
        </w:rPr>
      </w:pPr>
      <w:r w:rsidDel="00000000" w:rsidR="00000000" w:rsidRPr="00000000">
        <w:rPr>
          <w:rtl w:val="0"/>
        </w:rPr>
        <w:t xml:space="preserve">1 point – marginal focus on PWID</w:t>
      </w:r>
      <w:r w:rsidDel="00000000" w:rsidR="00000000" w:rsidRPr="00000000">
        <w:rPr>
          <w:rtl w:val="0"/>
        </w:rPr>
      </w:r>
    </w:p>
    <w:p w:rsidR="00000000" w:rsidDel="00000000" w:rsidP="00000000" w:rsidRDefault="00000000" w:rsidRPr="00000000" w14:paraId="0000007B">
      <w:pPr>
        <w:numPr>
          <w:ilvl w:val="0"/>
          <w:numId w:val="2"/>
        </w:numPr>
        <w:spacing w:after="0" w:line="240" w:lineRule="auto"/>
        <w:ind w:left="720" w:hanging="360"/>
        <w:rPr>
          <w:b w:val="1"/>
        </w:rPr>
      </w:pPr>
      <w:r w:rsidDel="00000000" w:rsidR="00000000" w:rsidRPr="00000000">
        <w:rPr>
          <w:rtl w:val="0"/>
        </w:rPr>
        <w:t xml:space="preserve">2 points – some focus on PWID</w:t>
      </w:r>
      <w:r w:rsidDel="00000000" w:rsidR="00000000" w:rsidRPr="00000000">
        <w:rPr>
          <w:rtl w:val="0"/>
        </w:rPr>
      </w:r>
    </w:p>
    <w:p w:rsidR="00000000" w:rsidDel="00000000" w:rsidP="00000000" w:rsidRDefault="00000000" w:rsidRPr="00000000" w14:paraId="0000007C">
      <w:pPr>
        <w:numPr>
          <w:ilvl w:val="0"/>
          <w:numId w:val="2"/>
        </w:numPr>
        <w:spacing w:after="0" w:line="240" w:lineRule="auto"/>
        <w:ind w:left="720" w:hanging="360"/>
        <w:rPr>
          <w:b w:val="1"/>
        </w:rPr>
      </w:pPr>
      <w:r w:rsidDel="00000000" w:rsidR="00000000" w:rsidRPr="00000000">
        <w:rPr>
          <w:rtl w:val="0"/>
        </w:rPr>
        <w:t xml:space="preserve">3 points – moderate focus on PWID</w:t>
      </w:r>
      <w:r w:rsidDel="00000000" w:rsidR="00000000" w:rsidRPr="00000000">
        <w:rPr>
          <w:rtl w:val="0"/>
        </w:rPr>
      </w:r>
    </w:p>
    <w:p w:rsidR="00000000" w:rsidDel="00000000" w:rsidP="00000000" w:rsidRDefault="00000000" w:rsidRPr="00000000" w14:paraId="0000007D">
      <w:pPr>
        <w:numPr>
          <w:ilvl w:val="0"/>
          <w:numId w:val="2"/>
        </w:numPr>
        <w:spacing w:after="0" w:line="240" w:lineRule="auto"/>
        <w:ind w:left="720" w:hanging="360"/>
        <w:rPr>
          <w:b w:val="1"/>
        </w:rPr>
      </w:pPr>
      <w:r w:rsidDel="00000000" w:rsidR="00000000" w:rsidRPr="00000000">
        <w:rPr>
          <w:rtl w:val="0"/>
        </w:rPr>
        <w:t xml:space="preserve">4 points – mostly focused on PWID</w:t>
      </w:r>
      <w:r w:rsidDel="00000000" w:rsidR="00000000" w:rsidRPr="00000000">
        <w:rPr>
          <w:rtl w:val="0"/>
        </w:rPr>
      </w:r>
    </w:p>
    <w:p w:rsidR="00000000" w:rsidDel="00000000" w:rsidP="00000000" w:rsidRDefault="00000000" w:rsidRPr="00000000" w14:paraId="0000007E">
      <w:pPr>
        <w:numPr>
          <w:ilvl w:val="0"/>
          <w:numId w:val="2"/>
        </w:numPr>
        <w:spacing w:after="0" w:line="240" w:lineRule="auto"/>
        <w:ind w:left="720" w:hanging="360"/>
        <w:rPr>
          <w:b w:val="1"/>
        </w:rPr>
      </w:pPr>
      <w:r w:rsidDel="00000000" w:rsidR="00000000" w:rsidRPr="00000000">
        <w:rPr>
          <w:rtl w:val="0"/>
        </w:rPr>
        <w:t xml:space="preserve">5 points – strong focus on PWID</w:t>
      </w:r>
      <w:r w:rsidDel="00000000" w:rsidR="00000000" w:rsidRPr="00000000">
        <w:rPr>
          <w:rtl w:val="0"/>
        </w:rPr>
      </w:r>
    </w:p>
    <w:p w:rsidR="00000000" w:rsidDel="00000000" w:rsidP="00000000" w:rsidRDefault="00000000" w:rsidRPr="00000000" w14:paraId="0000007F">
      <w:pPr>
        <w:spacing w:after="0" w:line="240" w:lineRule="auto"/>
        <w:ind w:left="0" w:firstLine="0"/>
        <w:rPr>
          <w:b w:val="1"/>
        </w:rPr>
      </w:pPr>
      <w:r w:rsidDel="00000000" w:rsidR="00000000" w:rsidRPr="00000000">
        <w:rPr>
          <w:rtl w:val="0"/>
        </w:rPr>
      </w:r>
    </w:p>
    <w:p w:rsidR="00000000" w:rsidDel="00000000" w:rsidP="00000000" w:rsidRDefault="00000000" w:rsidRPr="00000000" w14:paraId="00000080">
      <w:pPr>
        <w:spacing w:after="0" w:line="240" w:lineRule="auto"/>
        <w:rPr>
          <w:b w:val="1"/>
        </w:rPr>
      </w:pPr>
      <w:r w:rsidDel="00000000" w:rsidR="00000000" w:rsidRPr="00000000">
        <w:rPr>
          <w:b w:val="1"/>
          <w:rtl w:val="0"/>
        </w:rPr>
        <w:t xml:space="preserve">4. The project is focused on HIV incidence priority zip codes (5 points)</w:t>
      </w:r>
    </w:p>
    <w:p w:rsidR="00000000" w:rsidDel="00000000" w:rsidP="00000000" w:rsidRDefault="00000000" w:rsidRPr="00000000" w14:paraId="00000081">
      <w:pPr>
        <w:spacing w:after="0" w:line="240" w:lineRule="auto"/>
        <w:ind w:firstLine="360"/>
        <w:rPr>
          <w:i w:val="1"/>
        </w:rPr>
      </w:pPr>
      <w:r w:rsidDel="00000000" w:rsidR="00000000" w:rsidRPr="00000000">
        <w:rPr>
          <w:i w:val="1"/>
          <w:rtl w:val="0"/>
        </w:rPr>
        <w:t xml:space="preserve">64130, 64106, 64111, 64134, 64127, 64133, 64109, 66102</w:t>
      </w:r>
    </w:p>
    <w:p w:rsidR="00000000" w:rsidDel="00000000" w:rsidP="00000000" w:rsidRDefault="00000000" w:rsidRPr="00000000" w14:paraId="00000082">
      <w:pPr>
        <w:numPr>
          <w:ilvl w:val="0"/>
          <w:numId w:val="2"/>
        </w:numPr>
        <w:spacing w:after="0" w:line="240" w:lineRule="auto"/>
        <w:ind w:left="720" w:hanging="360"/>
        <w:rPr>
          <w:b w:val="1"/>
        </w:rPr>
      </w:pPr>
      <w:r w:rsidDel="00000000" w:rsidR="00000000" w:rsidRPr="00000000">
        <w:rPr>
          <w:rtl w:val="0"/>
        </w:rPr>
        <w:t xml:space="preserve">0 points – no focus on priority zip codes</w:t>
      </w:r>
      <w:r w:rsidDel="00000000" w:rsidR="00000000" w:rsidRPr="00000000">
        <w:rPr>
          <w:rtl w:val="0"/>
        </w:rPr>
      </w:r>
    </w:p>
    <w:p w:rsidR="00000000" w:rsidDel="00000000" w:rsidP="00000000" w:rsidRDefault="00000000" w:rsidRPr="00000000" w14:paraId="00000083">
      <w:pPr>
        <w:numPr>
          <w:ilvl w:val="0"/>
          <w:numId w:val="2"/>
        </w:numPr>
        <w:spacing w:after="0" w:line="240" w:lineRule="auto"/>
        <w:ind w:left="720" w:hanging="360"/>
        <w:rPr>
          <w:b w:val="1"/>
        </w:rPr>
      </w:pPr>
      <w:r w:rsidDel="00000000" w:rsidR="00000000" w:rsidRPr="00000000">
        <w:rPr>
          <w:rtl w:val="0"/>
        </w:rPr>
        <w:t xml:space="preserve">1 point – marginal focus on priority zip codes</w:t>
      </w:r>
      <w:r w:rsidDel="00000000" w:rsidR="00000000" w:rsidRPr="00000000">
        <w:rPr>
          <w:rtl w:val="0"/>
        </w:rPr>
      </w:r>
    </w:p>
    <w:p w:rsidR="00000000" w:rsidDel="00000000" w:rsidP="00000000" w:rsidRDefault="00000000" w:rsidRPr="00000000" w14:paraId="00000084">
      <w:pPr>
        <w:numPr>
          <w:ilvl w:val="0"/>
          <w:numId w:val="2"/>
        </w:numPr>
        <w:spacing w:after="0" w:line="240" w:lineRule="auto"/>
        <w:ind w:left="720" w:hanging="360"/>
        <w:rPr>
          <w:b w:val="1"/>
        </w:rPr>
      </w:pPr>
      <w:r w:rsidDel="00000000" w:rsidR="00000000" w:rsidRPr="00000000">
        <w:rPr>
          <w:rtl w:val="0"/>
        </w:rPr>
        <w:t xml:space="preserve">2 points – some focus on priority zip codes</w:t>
      </w:r>
      <w:r w:rsidDel="00000000" w:rsidR="00000000" w:rsidRPr="00000000">
        <w:rPr>
          <w:rtl w:val="0"/>
        </w:rPr>
      </w:r>
    </w:p>
    <w:p w:rsidR="00000000" w:rsidDel="00000000" w:rsidP="00000000" w:rsidRDefault="00000000" w:rsidRPr="00000000" w14:paraId="00000085">
      <w:pPr>
        <w:numPr>
          <w:ilvl w:val="0"/>
          <w:numId w:val="2"/>
        </w:numPr>
        <w:spacing w:after="0" w:line="240" w:lineRule="auto"/>
        <w:ind w:left="720" w:hanging="360"/>
        <w:rPr>
          <w:b w:val="1"/>
        </w:rPr>
      </w:pPr>
      <w:r w:rsidDel="00000000" w:rsidR="00000000" w:rsidRPr="00000000">
        <w:rPr>
          <w:rtl w:val="0"/>
        </w:rPr>
        <w:t xml:space="preserve">3 points – moderate focus on priority zip codes</w:t>
      </w:r>
      <w:r w:rsidDel="00000000" w:rsidR="00000000" w:rsidRPr="00000000">
        <w:rPr>
          <w:rtl w:val="0"/>
        </w:rPr>
      </w:r>
    </w:p>
    <w:p w:rsidR="00000000" w:rsidDel="00000000" w:rsidP="00000000" w:rsidRDefault="00000000" w:rsidRPr="00000000" w14:paraId="00000086">
      <w:pPr>
        <w:numPr>
          <w:ilvl w:val="0"/>
          <w:numId w:val="2"/>
        </w:numPr>
        <w:spacing w:after="0" w:line="240" w:lineRule="auto"/>
        <w:ind w:left="720" w:hanging="360"/>
        <w:rPr>
          <w:b w:val="1"/>
        </w:rPr>
      </w:pPr>
      <w:r w:rsidDel="00000000" w:rsidR="00000000" w:rsidRPr="00000000">
        <w:rPr>
          <w:rtl w:val="0"/>
        </w:rPr>
        <w:t xml:space="preserve">4 points – mostly focused on priority zip codes</w:t>
      </w:r>
      <w:r w:rsidDel="00000000" w:rsidR="00000000" w:rsidRPr="00000000">
        <w:rPr>
          <w:rtl w:val="0"/>
        </w:rPr>
      </w:r>
    </w:p>
    <w:p w:rsidR="00000000" w:rsidDel="00000000" w:rsidP="00000000" w:rsidRDefault="00000000" w:rsidRPr="00000000" w14:paraId="00000087">
      <w:pPr>
        <w:numPr>
          <w:ilvl w:val="0"/>
          <w:numId w:val="2"/>
        </w:numPr>
        <w:spacing w:after="0" w:line="240" w:lineRule="auto"/>
        <w:ind w:left="720" w:hanging="360"/>
        <w:rPr>
          <w:b w:val="1"/>
        </w:rPr>
      </w:pPr>
      <w:r w:rsidDel="00000000" w:rsidR="00000000" w:rsidRPr="00000000">
        <w:rPr>
          <w:rtl w:val="0"/>
        </w:rPr>
        <w:t xml:space="preserve">5 points – strong focus on priority zip codes</w:t>
      </w:r>
      <w:r w:rsidDel="00000000" w:rsidR="00000000" w:rsidRPr="00000000">
        <w:rPr>
          <w:rtl w:val="0"/>
        </w:rPr>
      </w:r>
    </w:p>
    <w:p w:rsidR="00000000" w:rsidDel="00000000" w:rsidP="00000000" w:rsidRDefault="00000000" w:rsidRPr="00000000" w14:paraId="00000088">
      <w:pPr>
        <w:spacing w:after="0" w:line="240" w:lineRule="auto"/>
        <w:rPr>
          <w:b w:val="1"/>
        </w:rPr>
      </w:pPr>
      <w:r w:rsidDel="00000000" w:rsidR="00000000" w:rsidRPr="00000000">
        <w:rPr>
          <w:rtl w:val="0"/>
        </w:rPr>
      </w:r>
    </w:p>
    <w:p w:rsidR="00000000" w:rsidDel="00000000" w:rsidP="00000000" w:rsidRDefault="00000000" w:rsidRPr="00000000" w14:paraId="00000089">
      <w:pPr>
        <w:spacing w:after="0" w:line="240" w:lineRule="auto"/>
        <w:rPr>
          <w:b w:val="1"/>
        </w:rPr>
      </w:pPr>
      <w:r w:rsidDel="00000000" w:rsidR="00000000" w:rsidRPr="00000000">
        <w:rPr>
          <w:b w:val="1"/>
          <w:rtl w:val="0"/>
        </w:rPr>
        <w:t xml:space="preserve">5. The organization’s Leadership and staffing reflects those most impacted by HIV (5 points)</w:t>
      </w:r>
    </w:p>
    <w:p w:rsidR="00000000" w:rsidDel="00000000" w:rsidP="00000000" w:rsidRDefault="00000000" w:rsidRPr="00000000" w14:paraId="0000008A">
      <w:pPr>
        <w:spacing w:after="0" w:line="240" w:lineRule="auto"/>
        <w:ind w:firstLine="360"/>
        <w:rPr>
          <w:i w:val="1"/>
        </w:rPr>
      </w:pPr>
      <w:r w:rsidDel="00000000" w:rsidR="00000000" w:rsidRPr="00000000">
        <w:rPr>
          <w:i w:val="1"/>
          <w:rtl w:val="0"/>
        </w:rPr>
        <w:t xml:space="preserve">MSM, WOC, TWOC, PWID </w:t>
      </w:r>
    </w:p>
    <w:p w:rsidR="00000000" w:rsidDel="00000000" w:rsidP="00000000" w:rsidRDefault="00000000" w:rsidRPr="00000000" w14:paraId="0000008B">
      <w:pPr>
        <w:numPr>
          <w:ilvl w:val="0"/>
          <w:numId w:val="2"/>
        </w:numPr>
        <w:spacing w:after="0" w:line="240" w:lineRule="auto"/>
        <w:ind w:left="720" w:hanging="360"/>
        <w:rPr>
          <w:b w:val="1"/>
        </w:rPr>
      </w:pPr>
      <w:r w:rsidDel="00000000" w:rsidR="00000000" w:rsidRPr="00000000">
        <w:rPr>
          <w:rtl w:val="0"/>
        </w:rPr>
        <w:t xml:space="preserve">0 points – no representation</w:t>
      </w:r>
      <w:r w:rsidDel="00000000" w:rsidR="00000000" w:rsidRPr="00000000">
        <w:rPr>
          <w:rtl w:val="0"/>
        </w:rPr>
      </w:r>
    </w:p>
    <w:p w:rsidR="00000000" w:rsidDel="00000000" w:rsidP="00000000" w:rsidRDefault="00000000" w:rsidRPr="00000000" w14:paraId="0000008C">
      <w:pPr>
        <w:numPr>
          <w:ilvl w:val="0"/>
          <w:numId w:val="2"/>
        </w:numPr>
        <w:spacing w:after="0" w:line="240" w:lineRule="auto"/>
        <w:ind w:left="720" w:hanging="360"/>
        <w:rPr>
          <w:b w:val="1"/>
        </w:rPr>
      </w:pPr>
      <w:r w:rsidDel="00000000" w:rsidR="00000000" w:rsidRPr="00000000">
        <w:rPr>
          <w:rtl w:val="0"/>
        </w:rPr>
        <w:t xml:space="preserve">1 point – marginal representation</w:t>
      </w:r>
      <w:r w:rsidDel="00000000" w:rsidR="00000000" w:rsidRPr="00000000">
        <w:rPr>
          <w:rtl w:val="0"/>
        </w:rPr>
      </w:r>
    </w:p>
    <w:p w:rsidR="00000000" w:rsidDel="00000000" w:rsidP="00000000" w:rsidRDefault="00000000" w:rsidRPr="00000000" w14:paraId="0000008D">
      <w:pPr>
        <w:numPr>
          <w:ilvl w:val="0"/>
          <w:numId w:val="2"/>
        </w:numPr>
        <w:spacing w:after="0" w:line="240" w:lineRule="auto"/>
        <w:ind w:left="720" w:hanging="360"/>
        <w:rPr>
          <w:b w:val="1"/>
        </w:rPr>
      </w:pPr>
      <w:r w:rsidDel="00000000" w:rsidR="00000000" w:rsidRPr="00000000">
        <w:rPr>
          <w:rtl w:val="0"/>
        </w:rPr>
        <w:t xml:space="preserve">2 points – some representation</w:t>
      </w:r>
      <w:r w:rsidDel="00000000" w:rsidR="00000000" w:rsidRPr="00000000">
        <w:rPr>
          <w:rtl w:val="0"/>
        </w:rPr>
      </w:r>
    </w:p>
    <w:p w:rsidR="00000000" w:rsidDel="00000000" w:rsidP="00000000" w:rsidRDefault="00000000" w:rsidRPr="00000000" w14:paraId="0000008E">
      <w:pPr>
        <w:numPr>
          <w:ilvl w:val="0"/>
          <w:numId w:val="2"/>
        </w:numPr>
        <w:spacing w:after="0" w:line="240" w:lineRule="auto"/>
        <w:ind w:left="720" w:hanging="360"/>
        <w:rPr>
          <w:b w:val="1"/>
        </w:rPr>
      </w:pPr>
      <w:r w:rsidDel="00000000" w:rsidR="00000000" w:rsidRPr="00000000">
        <w:rPr>
          <w:rtl w:val="0"/>
        </w:rPr>
        <w:t xml:space="preserve">3 points – moderate representation</w:t>
      </w:r>
      <w:r w:rsidDel="00000000" w:rsidR="00000000" w:rsidRPr="00000000">
        <w:rPr>
          <w:rtl w:val="0"/>
        </w:rPr>
      </w:r>
    </w:p>
    <w:p w:rsidR="00000000" w:rsidDel="00000000" w:rsidP="00000000" w:rsidRDefault="00000000" w:rsidRPr="00000000" w14:paraId="0000008F">
      <w:pPr>
        <w:numPr>
          <w:ilvl w:val="0"/>
          <w:numId w:val="2"/>
        </w:numPr>
        <w:spacing w:after="0" w:line="240" w:lineRule="auto"/>
        <w:ind w:left="720" w:hanging="360"/>
        <w:rPr>
          <w:b w:val="1"/>
        </w:rPr>
      </w:pPr>
      <w:r w:rsidDel="00000000" w:rsidR="00000000" w:rsidRPr="00000000">
        <w:rPr>
          <w:rtl w:val="0"/>
        </w:rPr>
        <w:t xml:space="preserve">4 points – moderately-high representation</w:t>
      </w:r>
      <w:r w:rsidDel="00000000" w:rsidR="00000000" w:rsidRPr="00000000">
        <w:rPr>
          <w:rtl w:val="0"/>
        </w:rPr>
      </w:r>
    </w:p>
    <w:p w:rsidR="00000000" w:rsidDel="00000000" w:rsidP="00000000" w:rsidRDefault="00000000" w:rsidRPr="00000000" w14:paraId="00000090">
      <w:pPr>
        <w:numPr>
          <w:ilvl w:val="0"/>
          <w:numId w:val="2"/>
        </w:numPr>
        <w:spacing w:after="0" w:line="240" w:lineRule="auto"/>
        <w:ind w:left="720" w:hanging="360"/>
        <w:rPr>
          <w:b w:val="1"/>
        </w:rPr>
      </w:pPr>
      <w:r w:rsidDel="00000000" w:rsidR="00000000" w:rsidRPr="00000000">
        <w:rPr>
          <w:rtl w:val="0"/>
        </w:rPr>
        <w:t xml:space="preserve">5 points – strong representation</w:t>
      </w:r>
    </w:p>
    <w:p w:rsidR="00000000" w:rsidDel="00000000" w:rsidP="00000000" w:rsidRDefault="00000000" w:rsidRPr="00000000" w14:paraId="00000091">
      <w:pPr>
        <w:spacing w:after="0" w:line="240" w:lineRule="auto"/>
        <w:rPr/>
      </w:pPr>
      <w:r w:rsidDel="00000000" w:rsidR="00000000" w:rsidRPr="00000000">
        <w:rPr>
          <w:rtl w:val="0"/>
        </w:rPr>
      </w:r>
    </w:p>
    <w:p w:rsidR="00000000" w:rsidDel="00000000" w:rsidP="00000000" w:rsidRDefault="00000000" w:rsidRPr="00000000" w14:paraId="00000092">
      <w:pPr>
        <w:spacing w:after="0" w:line="240" w:lineRule="auto"/>
        <w:rPr/>
      </w:pPr>
      <w:r w:rsidDel="00000000" w:rsidR="00000000" w:rsidRPr="00000000">
        <w:rPr>
          <w:rtl w:val="0"/>
        </w:rPr>
      </w:r>
    </w:p>
    <w:p w:rsidR="00000000" w:rsidDel="00000000" w:rsidP="00000000" w:rsidRDefault="00000000" w:rsidRPr="00000000" w14:paraId="00000093">
      <w:pPr>
        <w:spacing w:after="0" w:line="240" w:lineRule="auto"/>
        <w:rPr/>
      </w:pPr>
      <w:r w:rsidDel="00000000" w:rsidR="00000000" w:rsidRPr="00000000">
        <w:rPr>
          <w:rtl w:val="0"/>
        </w:rPr>
      </w:r>
    </w:p>
    <w:p w:rsidR="00000000" w:rsidDel="00000000" w:rsidP="00000000" w:rsidRDefault="00000000" w:rsidRPr="00000000" w14:paraId="00000094">
      <w:pPr>
        <w:spacing w:after="0" w:line="240" w:lineRule="auto"/>
        <w:rPr/>
      </w:pPr>
      <w:r w:rsidDel="00000000" w:rsidR="00000000" w:rsidRPr="00000000">
        <w:rPr>
          <w:rtl w:val="0"/>
        </w:rPr>
      </w:r>
    </w:p>
    <w:p w:rsidR="00000000" w:rsidDel="00000000" w:rsidP="00000000" w:rsidRDefault="00000000" w:rsidRPr="00000000" w14:paraId="00000095">
      <w:pPr>
        <w:spacing w:after="0" w:line="240" w:lineRule="auto"/>
        <w:rPr/>
      </w:pPr>
      <w:r w:rsidDel="00000000" w:rsidR="00000000" w:rsidRPr="00000000">
        <w:rPr>
          <w:rtl w:val="0"/>
        </w:rPr>
      </w:r>
    </w:p>
    <w:p w:rsidR="00000000" w:rsidDel="00000000" w:rsidP="00000000" w:rsidRDefault="00000000" w:rsidRPr="00000000" w14:paraId="00000096">
      <w:pPr>
        <w:spacing w:after="0" w:line="240" w:lineRule="auto"/>
        <w:rPr/>
      </w:pPr>
      <w:r w:rsidDel="00000000" w:rsidR="00000000" w:rsidRPr="00000000">
        <w:rPr>
          <w:rtl w:val="0"/>
        </w:rPr>
      </w:r>
    </w:p>
    <w:p w:rsidR="00000000" w:rsidDel="00000000" w:rsidP="00000000" w:rsidRDefault="00000000" w:rsidRPr="00000000" w14:paraId="00000097">
      <w:pPr>
        <w:spacing w:after="0" w:line="240" w:lineRule="auto"/>
        <w:rPr/>
      </w:pPr>
      <w:r w:rsidDel="00000000" w:rsidR="00000000" w:rsidRPr="00000000">
        <w:rPr>
          <w:rtl w:val="0"/>
        </w:rPr>
      </w:r>
    </w:p>
    <w:p w:rsidR="00000000" w:rsidDel="00000000" w:rsidP="00000000" w:rsidRDefault="00000000" w:rsidRPr="00000000" w14:paraId="00000098">
      <w:pPr>
        <w:spacing w:after="0" w:line="240" w:lineRule="auto"/>
        <w:rPr/>
      </w:pPr>
      <w:r w:rsidDel="00000000" w:rsidR="00000000" w:rsidRPr="00000000">
        <w:rPr>
          <w:rtl w:val="0"/>
        </w:rPr>
      </w:r>
    </w:p>
    <w:p w:rsidR="00000000" w:rsidDel="00000000" w:rsidP="00000000" w:rsidRDefault="00000000" w:rsidRPr="00000000" w14:paraId="00000099">
      <w:pPr>
        <w:spacing w:after="0" w:line="240" w:lineRule="auto"/>
        <w:rPr>
          <w:b w:val="1"/>
          <w:color w:val="1f497d"/>
        </w:rPr>
      </w:pPr>
      <w:r w:rsidDel="00000000" w:rsidR="00000000" w:rsidRPr="00000000">
        <w:rPr>
          <w:b w:val="1"/>
          <w:color w:val="1f497d"/>
          <w:rtl w:val="0"/>
        </w:rPr>
        <w:t xml:space="preserve">Appendix 2. Budget Template</w:t>
      </w:r>
    </w:p>
    <w:p w:rsidR="00000000" w:rsidDel="00000000" w:rsidP="00000000" w:rsidRDefault="00000000" w:rsidRPr="00000000" w14:paraId="0000009A">
      <w:pPr>
        <w:widowControl w:val="0"/>
        <w:spacing w:after="0" w:line="276" w:lineRule="auto"/>
        <w:rPr>
          <w:rFonts w:ascii="Arial" w:cs="Arial" w:eastAsia="Arial" w:hAnsi="Arial"/>
        </w:rPr>
      </w:pPr>
      <w:r w:rsidDel="00000000" w:rsidR="00000000" w:rsidRPr="00000000">
        <w:rPr>
          <w:rtl w:val="0"/>
        </w:rPr>
      </w:r>
    </w:p>
    <w:tbl>
      <w:tblPr>
        <w:tblStyle w:val="Table2"/>
        <w:tblW w:w="940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5"/>
        <w:gridCol w:w="1980"/>
        <w:gridCol w:w="2160"/>
        <w:tblGridChange w:id="0">
          <w:tblGrid>
            <w:gridCol w:w="5265"/>
            <w:gridCol w:w="1980"/>
            <w:gridCol w:w="2160"/>
          </w:tblGrid>
        </w:tblGridChange>
      </w:tblGrid>
      <w:tr>
        <w:trPr>
          <w:cantSplit w:val="0"/>
          <w:trHeight w:val="563.59375" w:hRule="atLeast"/>
          <w:tblHeader w:val="0"/>
        </w:trPr>
        <w:tc>
          <w:tcPr>
            <w:gridSpan w:val="3"/>
          </w:tcPr>
          <w:p w:rsidR="00000000" w:rsidDel="00000000" w:rsidP="00000000" w:rsidRDefault="00000000" w:rsidRPr="00000000" w14:paraId="0000009B">
            <w:pPr>
              <w:jc w:val="center"/>
              <w:rPr>
                <w:b w:val="1"/>
                <w:sz w:val="28"/>
                <w:szCs w:val="28"/>
              </w:rPr>
            </w:pPr>
            <w:r w:rsidDel="00000000" w:rsidR="00000000" w:rsidRPr="00000000">
              <w:rPr>
                <w:b w:val="1"/>
                <w:sz w:val="28"/>
                <w:szCs w:val="28"/>
                <w:rtl w:val="0"/>
              </w:rPr>
              <w:t xml:space="preserve">Budget Template</w:t>
            </w:r>
          </w:p>
        </w:tc>
      </w:tr>
      <w:tr>
        <w:trPr>
          <w:cantSplit w:val="0"/>
          <w:tblHeader w:val="0"/>
        </w:trPr>
        <w:tc>
          <w:tcPr>
            <w:shd w:fill="d9d9d9" w:val="clear"/>
          </w:tcPr>
          <w:p w:rsidR="00000000" w:rsidDel="00000000" w:rsidP="00000000" w:rsidRDefault="00000000" w:rsidRPr="00000000" w14:paraId="0000009E">
            <w:pPr>
              <w:jc w:val="center"/>
              <w:rPr>
                <w:b w:val="1"/>
                <w:sz w:val="28"/>
                <w:szCs w:val="28"/>
              </w:rPr>
            </w:pPr>
            <w:r w:rsidDel="00000000" w:rsidR="00000000" w:rsidRPr="00000000">
              <w:rPr>
                <w:b w:val="1"/>
                <w:sz w:val="28"/>
                <w:szCs w:val="28"/>
                <w:rtl w:val="0"/>
              </w:rPr>
              <w:t xml:space="preserve">Project Activity</w:t>
            </w:r>
          </w:p>
        </w:tc>
        <w:tc>
          <w:tcPr>
            <w:shd w:fill="d9d9d9" w:val="clear"/>
          </w:tcPr>
          <w:p w:rsidR="00000000" w:rsidDel="00000000" w:rsidP="00000000" w:rsidRDefault="00000000" w:rsidRPr="00000000" w14:paraId="0000009F">
            <w:pPr>
              <w:jc w:val="center"/>
              <w:rPr>
                <w:b w:val="1"/>
                <w:sz w:val="28"/>
                <w:szCs w:val="28"/>
              </w:rPr>
            </w:pPr>
            <w:r w:rsidDel="00000000" w:rsidR="00000000" w:rsidRPr="00000000">
              <w:rPr>
                <w:b w:val="1"/>
                <w:sz w:val="28"/>
                <w:szCs w:val="28"/>
                <w:rtl w:val="0"/>
              </w:rPr>
              <w:t xml:space="preserve"># People Served</w:t>
            </w:r>
          </w:p>
        </w:tc>
        <w:tc>
          <w:tcPr>
            <w:shd w:fill="d9d9d9" w:val="clear"/>
          </w:tcPr>
          <w:p w:rsidR="00000000" w:rsidDel="00000000" w:rsidP="00000000" w:rsidRDefault="00000000" w:rsidRPr="00000000" w14:paraId="000000A0">
            <w:pPr>
              <w:jc w:val="center"/>
              <w:rPr>
                <w:b w:val="1"/>
                <w:sz w:val="28"/>
                <w:szCs w:val="28"/>
              </w:rPr>
            </w:pPr>
            <w:r w:rsidDel="00000000" w:rsidR="00000000" w:rsidRPr="00000000">
              <w:rPr>
                <w:b w:val="1"/>
                <w:sz w:val="28"/>
                <w:szCs w:val="28"/>
                <w:rtl w:val="0"/>
              </w:rPr>
              <w:t xml:space="preserve">Budget</w:t>
            </w:r>
          </w:p>
        </w:tc>
      </w:tr>
      <w:tr>
        <w:trPr>
          <w:cantSplit w:val="0"/>
          <w:trHeight w:val="107" w:hRule="atLeast"/>
          <w:tblHeader w:val="0"/>
        </w:trPr>
        <w:tc>
          <w:tcPr/>
          <w:p w:rsidR="00000000" w:rsidDel="00000000" w:rsidP="00000000" w:rsidRDefault="00000000" w:rsidRPr="00000000" w14:paraId="000000A1">
            <w:pPr>
              <w:rPr>
                <w:sz w:val="28"/>
                <w:szCs w:val="28"/>
              </w:rPr>
            </w:pPr>
            <w:r w:rsidDel="00000000" w:rsidR="00000000" w:rsidRPr="00000000">
              <w:rPr>
                <w:rtl w:val="0"/>
              </w:rPr>
            </w:r>
          </w:p>
        </w:tc>
        <w:tc>
          <w:tcPr/>
          <w:p w:rsidR="00000000" w:rsidDel="00000000" w:rsidP="00000000" w:rsidRDefault="00000000" w:rsidRPr="00000000" w14:paraId="000000A2">
            <w:pPr>
              <w:rPr>
                <w:sz w:val="28"/>
                <w:szCs w:val="28"/>
              </w:rPr>
            </w:pPr>
            <w:r w:rsidDel="00000000" w:rsidR="00000000" w:rsidRPr="00000000">
              <w:rPr>
                <w:rtl w:val="0"/>
              </w:rPr>
            </w:r>
          </w:p>
        </w:tc>
        <w:tc>
          <w:tcPr/>
          <w:p w:rsidR="00000000" w:rsidDel="00000000" w:rsidP="00000000" w:rsidRDefault="00000000" w:rsidRPr="00000000" w14:paraId="000000A3">
            <w:pP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A4">
            <w:pPr>
              <w:rPr>
                <w:sz w:val="28"/>
                <w:szCs w:val="28"/>
              </w:rPr>
            </w:pPr>
            <w:r w:rsidDel="00000000" w:rsidR="00000000" w:rsidRPr="00000000">
              <w:rPr>
                <w:rtl w:val="0"/>
              </w:rPr>
            </w:r>
          </w:p>
        </w:tc>
        <w:tc>
          <w:tcPr/>
          <w:p w:rsidR="00000000" w:rsidDel="00000000" w:rsidP="00000000" w:rsidRDefault="00000000" w:rsidRPr="00000000" w14:paraId="000000A5">
            <w:pPr>
              <w:rPr>
                <w:sz w:val="28"/>
                <w:szCs w:val="28"/>
              </w:rPr>
            </w:pPr>
            <w:r w:rsidDel="00000000" w:rsidR="00000000" w:rsidRPr="00000000">
              <w:rPr>
                <w:rtl w:val="0"/>
              </w:rPr>
            </w:r>
          </w:p>
        </w:tc>
        <w:tc>
          <w:tcPr/>
          <w:p w:rsidR="00000000" w:rsidDel="00000000" w:rsidP="00000000" w:rsidRDefault="00000000" w:rsidRPr="00000000" w14:paraId="000000A6">
            <w:pP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A7">
            <w:pPr>
              <w:rPr>
                <w:sz w:val="28"/>
                <w:szCs w:val="28"/>
              </w:rPr>
            </w:pPr>
            <w:r w:rsidDel="00000000" w:rsidR="00000000" w:rsidRPr="00000000">
              <w:rPr>
                <w:rtl w:val="0"/>
              </w:rPr>
            </w:r>
          </w:p>
        </w:tc>
        <w:tc>
          <w:tcPr/>
          <w:p w:rsidR="00000000" w:rsidDel="00000000" w:rsidP="00000000" w:rsidRDefault="00000000" w:rsidRPr="00000000" w14:paraId="000000A8">
            <w:pPr>
              <w:rPr>
                <w:sz w:val="28"/>
                <w:szCs w:val="28"/>
              </w:rPr>
            </w:pPr>
            <w:r w:rsidDel="00000000" w:rsidR="00000000" w:rsidRPr="00000000">
              <w:rPr>
                <w:rtl w:val="0"/>
              </w:rPr>
            </w:r>
          </w:p>
        </w:tc>
        <w:tc>
          <w:tcPr/>
          <w:p w:rsidR="00000000" w:rsidDel="00000000" w:rsidP="00000000" w:rsidRDefault="00000000" w:rsidRPr="00000000" w14:paraId="000000A9">
            <w:pP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AA">
            <w:pPr>
              <w:rPr>
                <w:sz w:val="28"/>
                <w:szCs w:val="28"/>
              </w:rPr>
            </w:pPr>
            <w:r w:rsidDel="00000000" w:rsidR="00000000" w:rsidRPr="00000000">
              <w:rPr>
                <w:rtl w:val="0"/>
              </w:rPr>
            </w:r>
          </w:p>
        </w:tc>
        <w:tc>
          <w:tcPr/>
          <w:p w:rsidR="00000000" w:rsidDel="00000000" w:rsidP="00000000" w:rsidRDefault="00000000" w:rsidRPr="00000000" w14:paraId="000000AB">
            <w:pPr>
              <w:rPr>
                <w:sz w:val="28"/>
                <w:szCs w:val="28"/>
              </w:rPr>
            </w:pPr>
            <w:r w:rsidDel="00000000" w:rsidR="00000000" w:rsidRPr="00000000">
              <w:rPr>
                <w:rtl w:val="0"/>
              </w:rPr>
            </w:r>
          </w:p>
        </w:tc>
        <w:tc>
          <w:tcPr/>
          <w:p w:rsidR="00000000" w:rsidDel="00000000" w:rsidP="00000000" w:rsidRDefault="00000000" w:rsidRPr="00000000" w14:paraId="000000AC">
            <w:pP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AD">
            <w:pPr>
              <w:rPr>
                <w:sz w:val="28"/>
                <w:szCs w:val="28"/>
              </w:rPr>
            </w:pPr>
            <w:r w:rsidDel="00000000" w:rsidR="00000000" w:rsidRPr="00000000">
              <w:rPr>
                <w:rtl w:val="0"/>
              </w:rPr>
            </w:r>
          </w:p>
        </w:tc>
        <w:tc>
          <w:tcPr/>
          <w:p w:rsidR="00000000" w:rsidDel="00000000" w:rsidP="00000000" w:rsidRDefault="00000000" w:rsidRPr="00000000" w14:paraId="000000AE">
            <w:pPr>
              <w:rPr>
                <w:sz w:val="28"/>
                <w:szCs w:val="28"/>
              </w:rPr>
            </w:pPr>
            <w:r w:rsidDel="00000000" w:rsidR="00000000" w:rsidRPr="00000000">
              <w:rPr>
                <w:rtl w:val="0"/>
              </w:rPr>
            </w:r>
          </w:p>
        </w:tc>
        <w:tc>
          <w:tcPr/>
          <w:p w:rsidR="00000000" w:rsidDel="00000000" w:rsidP="00000000" w:rsidRDefault="00000000" w:rsidRPr="00000000" w14:paraId="000000AF">
            <w:pP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B0">
            <w:pPr>
              <w:rPr>
                <w:sz w:val="28"/>
                <w:szCs w:val="28"/>
              </w:rPr>
            </w:pPr>
            <w:r w:rsidDel="00000000" w:rsidR="00000000" w:rsidRPr="00000000">
              <w:rPr>
                <w:rtl w:val="0"/>
              </w:rPr>
            </w:r>
          </w:p>
        </w:tc>
        <w:tc>
          <w:tcPr/>
          <w:p w:rsidR="00000000" w:rsidDel="00000000" w:rsidP="00000000" w:rsidRDefault="00000000" w:rsidRPr="00000000" w14:paraId="000000B1">
            <w:pPr>
              <w:rPr>
                <w:sz w:val="28"/>
                <w:szCs w:val="28"/>
              </w:rPr>
            </w:pPr>
            <w:r w:rsidDel="00000000" w:rsidR="00000000" w:rsidRPr="00000000">
              <w:rPr>
                <w:rtl w:val="0"/>
              </w:rPr>
            </w:r>
          </w:p>
        </w:tc>
        <w:tc>
          <w:tcPr/>
          <w:p w:rsidR="00000000" w:rsidDel="00000000" w:rsidP="00000000" w:rsidRDefault="00000000" w:rsidRPr="00000000" w14:paraId="000000B2">
            <w:pP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B3">
            <w:pPr>
              <w:rPr>
                <w:sz w:val="28"/>
                <w:szCs w:val="28"/>
              </w:rPr>
            </w:pPr>
            <w:r w:rsidDel="00000000" w:rsidR="00000000" w:rsidRPr="00000000">
              <w:rPr>
                <w:rtl w:val="0"/>
              </w:rPr>
            </w:r>
          </w:p>
        </w:tc>
        <w:tc>
          <w:tcPr/>
          <w:p w:rsidR="00000000" w:rsidDel="00000000" w:rsidP="00000000" w:rsidRDefault="00000000" w:rsidRPr="00000000" w14:paraId="000000B4">
            <w:pPr>
              <w:rPr>
                <w:sz w:val="28"/>
                <w:szCs w:val="28"/>
              </w:rPr>
            </w:pPr>
            <w:r w:rsidDel="00000000" w:rsidR="00000000" w:rsidRPr="00000000">
              <w:rPr>
                <w:rtl w:val="0"/>
              </w:rPr>
            </w:r>
          </w:p>
        </w:tc>
        <w:tc>
          <w:tcPr/>
          <w:p w:rsidR="00000000" w:rsidDel="00000000" w:rsidP="00000000" w:rsidRDefault="00000000" w:rsidRPr="00000000" w14:paraId="000000B5">
            <w:pP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B6">
            <w:pPr>
              <w:rPr>
                <w:sz w:val="28"/>
                <w:szCs w:val="28"/>
              </w:rPr>
            </w:pPr>
            <w:r w:rsidDel="00000000" w:rsidR="00000000" w:rsidRPr="00000000">
              <w:rPr>
                <w:rtl w:val="0"/>
              </w:rPr>
            </w:r>
          </w:p>
        </w:tc>
        <w:tc>
          <w:tcPr/>
          <w:p w:rsidR="00000000" w:rsidDel="00000000" w:rsidP="00000000" w:rsidRDefault="00000000" w:rsidRPr="00000000" w14:paraId="000000B7">
            <w:pPr>
              <w:rPr>
                <w:sz w:val="28"/>
                <w:szCs w:val="28"/>
              </w:rPr>
            </w:pPr>
            <w:r w:rsidDel="00000000" w:rsidR="00000000" w:rsidRPr="00000000">
              <w:rPr>
                <w:rtl w:val="0"/>
              </w:rPr>
            </w:r>
          </w:p>
        </w:tc>
        <w:tc>
          <w:tcPr/>
          <w:p w:rsidR="00000000" w:rsidDel="00000000" w:rsidP="00000000" w:rsidRDefault="00000000" w:rsidRPr="00000000" w14:paraId="000000B8">
            <w:pPr>
              <w:rPr>
                <w:sz w:val="28"/>
                <w:szCs w:val="28"/>
              </w:rPr>
            </w:pPr>
            <w:r w:rsidDel="00000000" w:rsidR="00000000" w:rsidRPr="00000000">
              <w:rPr>
                <w:sz w:val="28"/>
                <w:szCs w:val="28"/>
                <w:rtl w:val="0"/>
              </w:rPr>
              <w:t xml:space="preserve">$</w:t>
            </w:r>
          </w:p>
        </w:tc>
      </w:tr>
      <w:tr>
        <w:trPr>
          <w:cantSplit w:val="0"/>
          <w:tblHeader w:val="0"/>
        </w:trPr>
        <w:tc>
          <w:tcPr>
            <w:gridSpan w:val="2"/>
            <w:shd w:fill="d9d9d9" w:val="clear"/>
          </w:tcPr>
          <w:p w:rsidR="00000000" w:rsidDel="00000000" w:rsidP="00000000" w:rsidRDefault="00000000" w:rsidRPr="00000000" w14:paraId="000000B9">
            <w:pPr>
              <w:jc w:val="right"/>
              <w:rPr>
                <w:b w:val="1"/>
                <w:sz w:val="28"/>
                <w:szCs w:val="28"/>
              </w:rPr>
            </w:pPr>
            <w:r w:rsidDel="00000000" w:rsidR="00000000" w:rsidRPr="00000000">
              <w:rPr>
                <w:b w:val="1"/>
                <w:sz w:val="28"/>
                <w:szCs w:val="28"/>
                <w:rtl w:val="0"/>
              </w:rPr>
              <w:t xml:space="preserve">TOTAL</w:t>
            </w:r>
          </w:p>
        </w:tc>
        <w:tc>
          <w:tcPr/>
          <w:p w:rsidR="00000000" w:rsidDel="00000000" w:rsidP="00000000" w:rsidRDefault="00000000" w:rsidRPr="00000000" w14:paraId="000000BB">
            <w:pPr>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BC">
      <w:pPr>
        <w:spacing w:after="0" w:line="480" w:lineRule="auto"/>
        <w:ind w:left="720"/>
        <w:rPr>
          <w:b w:val="1"/>
        </w:rPr>
      </w:pPr>
      <w:r w:rsidDel="00000000" w:rsidR="00000000" w:rsidRPr="00000000">
        <w:rPr>
          <w:rtl w:val="0"/>
        </w:rPr>
      </w:r>
    </w:p>
    <w:sectPr>
      <w:headerReference r:id="rId7" w:type="first"/>
      <w:footerReference r:id="rId8" w:type="default"/>
      <w:footerReference r:id="rId9" w:type="first"/>
      <w:pgSz w:h="16340" w:w="12240" w:orient="portrait"/>
      <w:pgMar w:bottom="563" w:top="1157" w:left="1271" w:right="120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Arial"/>
  <w:font w:name="Apto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17379" cy="118114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7379" cy="11811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upp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upp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881FA5"/>
  </w:style>
  <w:style w:type="paragraph" w:styleId="Heading1">
    <w:name w:val="heading 1"/>
    <w:basedOn w:val="Normal1"/>
    <w:next w:val="Normal1"/>
    <w:rsid w:val="00186326"/>
    <w:pPr>
      <w:keepNext w:val="1"/>
      <w:keepLines w:val="1"/>
      <w:spacing w:after="120" w:before="480"/>
      <w:outlineLvl w:val="0"/>
    </w:pPr>
    <w:rPr>
      <w:b w:val="1"/>
      <w:sz w:val="48"/>
      <w:szCs w:val="48"/>
    </w:rPr>
  </w:style>
  <w:style w:type="paragraph" w:styleId="Heading2">
    <w:name w:val="heading 2"/>
    <w:basedOn w:val="Normal1"/>
    <w:next w:val="Normal1"/>
    <w:rsid w:val="00186326"/>
    <w:pPr>
      <w:keepNext w:val="1"/>
      <w:keepLines w:val="1"/>
      <w:spacing w:after="80" w:before="360"/>
      <w:outlineLvl w:val="1"/>
    </w:pPr>
    <w:rPr>
      <w:b w:val="1"/>
      <w:sz w:val="36"/>
      <w:szCs w:val="36"/>
    </w:rPr>
  </w:style>
  <w:style w:type="paragraph" w:styleId="Heading3">
    <w:name w:val="heading 3"/>
    <w:basedOn w:val="Normal1"/>
    <w:next w:val="Normal1"/>
    <w:rsid w:val="00186326"/>
    <w:pPr>
      <w:keepNext w:val="1"/>
      <w:keepLines w:val="1"/>
      <w:spacing w:after="80" w:before="280"/>
      <w:outlineLvl w:val="2"/>
    </w:pPr>
    <w:rPr>
      <w:b w:val="1"/>
      <w:sz w:val="28"/>
      <w:szCs w:val="28"/>
    </w:rPr>
  </w:style>
  <w:style w:type="paragraph" w:styleId="Heading4">
    <w:name w:val="heading 4"/>
    <w:basedOn w:val="Normal1"/>
    <w:next w:val="Normal1"/>
    <w:rsid w:val="00186326"/>
    <w:pPr>
      <w:keepNext w:val="1"/>
      <w:keepLines w:val="1"/>
      <w:spacing w:after="40" w:before="240"/>
      <w:outlineLvl w:val="3"/>
    </w:pPr>
    <w:rPr>
      <w:b w:val="1"/>
      <w:sz w:val="24"/>
      <w:szCs w:val="24"/>
    </w:rPr>
  </w:style>
  <w:style w:type="paragraph" w:styleId="Heading5">
    <w:name w:val="heading 5"/>
    <w:basedOn w:val="Normal1"/>
    <w:next w:val="Normal1"/>
    <w:rsid w:val="00186326"/>
    <w:pPr>
      <w:keepNext w:val="1"/>
      <w:keepLines w:val="1"/>
      <w:spacing w:after="40" w:before="220"/>
      <w:outlineLvl w:val="4"/>
    </w:pPr>
    <w:rPr>
      <w:b w:val="1"/>
    </w:rPr>
  </w:style>
  <w:style w:type="paragraph" w:styleId="Heading6">
    <w:name w:val="heading 6"/>
    <w:basedOn w:val="Normal1"/>
    <w:next w:val="Normal1"/>
    <w:rsid w:val="0018632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186326"/>
  </w:style>
  <w:style w:type="paragraph" w:styleId="Title">
    <w:name w:val="Title"/>
    <w:basedOn w:val="Normal1"/>
    <w:next w:val="Normal1"/>
    <w:rsid w:val="00186326"/>
    <w:pPr>
      <w:keepNext w:val="1"/>
      <w:keepLines w:val="1"/>
      <w:spacing w:after="120" w:before="480"/>
    </w:pPr>
    <w:rPr>
      <w:b w:val="1"/>
      <w:sz w:val="72"/>
      <w:szCs w:val="72"/>
    </w:rPr>
  </w:style>
  <w:style w:type="paragraph" w:styleId="Subtitle">
    <w:name w:val="Subtitle"/>
    <w:basedOn w:val="Normal1"/>
    <w:next w:val="Normal1"/>
    <w:rsid w:val="00186326"/>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31497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1497A"/>
    <w:rPr>
      <w:rFonts w:ascii="Tahoma" w:cs="Tahoma" w:hAnsi="Tahoma"/>
      <w:sz w:val="16"/>
      <w:szCs w:val="16"/>
    </w:rPr>
  </w:style>
  <w:style w:type="table" w:styleId="TableGrid">
    <w:name w:val="Table Grid"/>
    <w:basedOn w:val="TableNormal"/>
    <w:uiPriority w:val="59"/>
    <w:unhideWhenUsed w:val="1"/>
    <w:rsid w:val="005D4D1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C6C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6C78"/>
  </w:style>
  <w:style w:type="paragraph" w:styleId="Footer">
    <w:name w:val="footer"/>
    <w:basedOn w:val="Normal"/>
    <w:link w:val="FooterChar"/>
    <w:uiPriority w:val="99"/>
    <w:unhideWhenUsed w:val="1"/>
    <w:rsid w:val="00CC6C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6C78"/>
  </w:style>
  <w:style w:type="paragraph" w:styleId="ListParagraph">
    <w:name w:val="List Paragraph"/>
    <w:basedOn w:val="Normal"/>
    <w:uiPriority w:val="34"/>
    <w:qFormat w:val="1"/>
    <w:rsid w:val="00CC6C78"/>
    <w:pPr>
      <w:ind w:left="720"/>
      <w:contextualSpacing w:val="1"/>
    </w:p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I5HU4xEiaAPdlTpdbwQgi+qbw==">CgMxLjAaMAoBMBIrCikIB0IlChFRdWF0dHJvY2VudG8gU2FucxIQQXJpYWwgVW5pY29kZSBNUxowCgExEisKKQgHQiUKEVF1YXR0cm9jZW50byBTYW5zEhBBcmlhbCBVbmljb2RlIE1TOAByITExYzNqam1lTkR6ZUp6eTRSV3RVc2dGbDFvZlo4b0Z4cA==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2024-09-10T20:27:00Z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76ce46-357f-46de-88d6-77b9bbb83c46_Enabled">
    <vt:lpwstr>true</vt:lpwstr>
  </property>
  <property fmtid="{D5CDD505-2E9C-101B-9397-08002B2CF9AE}" pid="3" name="MSIP_Label_3c76ce46-357f-46de-88d6-77b9bbb83c46_SetDate">
    <vt:lpwstr>2024-06-17T22:18:40Z</vt:lpwstr>
  </property>
  <property fmtid="{D5CDD505-2E9C-101B-9397-08002B2CF9AE}" pid="4" name="MSIP_Label_3c76ce46-357f-46de-88d6-77b9bbb83c46_Method">
    <vt:lpwstr>Privileged</vt:lpwstr>
  </property>
  <property fmtid="{D5CDD505-2E9C-101B-9397-08002B2CF9AE}" pid="5" name="MSIP_Label_3c76ce46-357f-46de-88d6-77b9bbb83c46_Name">
    <vt:lpwstr>Public</vt:lpwstr>
  </property>
  <property fmtid="{D5CDD505-2E9C-101B-9397-08002B2CF9AE}" pid="6" name="MSIP_Label_3c76ce46-357f-46de-88d6-77b9bbb83c46_SiteId">
    <vt:lpwstr>4e2c6054-71cb-48f1-bd6c-3a9705aca71b</vt:lpwstr>
  </property>
  <property fmtid="{D5CDD505-2E9C-101B-9397-08002B2CF9AE}" pid="7" name="MSIP_Label_3c76ce46-357f-46de-88d6-77b9bbb83c46_ActionId">
    <vt:lpwstr>1e67c922-e103-43ea-83fa-76e8368da36a</vt:lpwstr>
  </property>
  <property fmtid="{D5CDD505-2E9C-101B-9397-08002B2CF9AE}" pid="8" name="MSIP_Label_3c76ce46-357f-46de-88d6-77b9bbb83c46_ContentBits">
    <vt:lpwstr>0</vt:lpwstr>
  </property>
</Properties>
</file>